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00017A">
        <w:rPr>
          <w:rFonts w:ascii="Times New Roman" w:hAnsi="Times New Roman" w:cs="Times New Roman"/>
          <w:b/>
          <w:sz w:val="32"/>
          <w:szCs w:val="32"/>
        </w:rPr>
        <w:t>ВЛАДИМИРСКОГО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1A68E7" w:rsidP="00E31D5E">
      <w:pPr>
        <w:rPr>
          <w:rFonts w:ascii="Times New Roman" w:hAnsi="Times New Roman" w:cs="Times New Roman"/>
          <w:b/>
          <w:sz w:val="28"/>
          <w:szCs w:val="28"/>
        </w:rPr>
      </w:pPr>
      <w:r>
        <w:rPr>
          <w:rFonts w:ascii="Times New Roman" w:hAnsi="Times New Roman" w:cs="Times New Roman"/>
          <w:b/>
          <w:sz w:val="28"/>
          <w:szCs w:val="28"/>
        </w:rPr>
        <w:t>«24</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декабря</w:t>
      </w:r>
      <w:r w:rsidR="00E31D5E" w:rsidRPr="00E31D5E">
        <w:rPr>
          <w:rFonts w:ascii="Times New Roman" w:hAnsi="Times New Roman" w:cs="Times New Roman"/>
          <w:b/>
          <w:sz w:val="28"/>
          <w:szCs w:val="28"/>
        </w:rPr>
        <w:t xml:space="preserve"> 2024 года              </w:t>
      </w:r>
      <w:r w:rsidR="00E31D5E">
        <w:rPr>
          <w:rFonts w:ascii="Times New Roman" w:hAnsi="Times New Roman" w:cs="Times New Roman"/>
          <w:b/>
          <w:sz w:val="28"/>
          <w:szCs w:val="28"/>
        </w:rPr>
        <w:t xml:space="preserve">       </w:t>
      </w:r>
      <w:r>
        <w:rPr>
          <w:rFonts w:ascii="Times New Roman" w:hAnsi="Times New Roman" w:cs="Times New Roman"/>
          <w:b/>
          <w:sz w:val="28"/>
          <w:szCs w:val="28"/>
        </w:rPr>
        <w:t xml:space="preserve">               № 78</w:t>
      </w:r>
    </w:p>
    <w:p w:rsidR="00E31D5E" w:rsidRPr="00E31D5E" w:rsidRDefault="00E31D5E" w:rsidP="00E31D5E">
      <w:pPr>
        <w:rPr>
          <w:rFonts w:ascii="Times New Roman" w:hAnsi="Times New Roman" w:cs="Times New Roman"/>
          <w:b/>
          <w:sz w:val="28"/>
          <w:szCs w:val="28"/>
        </w:rPr>
      </w:pPr>
    </w:p>
    <w:p w:rsidR="00E31D5E" w:rsidRPr="00E31D5E" w:rsidRDefault="0000017A" w:rsidP="00E31D5E">
      <w:pPr>
        <w:jc w:val="center"/>
        <w:rPr>
          <w:rFonts w:ascii="Times New Roman" w:hAnsi="Times New Roman" w:cs="Times New Roman"/>
          <w:b/>
          <w:sz w:val="28"/>
          <w:szCs w:val="28"/>
        </w:rPr>
      </w:pPr>
      <w:r>
        <w:rPr>
          <w:rFonts w:ascii="Times New Roman" w:hAnsi="Times New Roman" w:cs="Times New Roman"/>
          <w:b/>
          <w:sz w:val="28"/>
          <w:szCs w:val="28"/>
        </w:rPr>
        <w:t>д.Владимировка</w:t>
      </w:r>
    </w:p>
    <w:p w:rsidR="00E31D5E" w:rsidRPr="00E31D5E" w:rsidRDefault="00E31D5E" w:rsidP="00E31D5E">
      <w:pPr>
        <w:rPr>
          <w:rFonts w:ascii="Times New Roman" w:hAnsi="Times New Roman" w:cs="Times New Roman"/>
          <w:sz w:val="28"/>
          <w:szCs w:val="28"/>
        </w:rPr>
      </w:pPr>
    </w:p>
    <w:p w:rsidR="00E31D5E" w:rsidRPr="00DF79FB" w:rsidRDefault="001E6456"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00017A">
          <w:rPr>
            <w:rStyle w:val="a4"/>
            <w:rFonts w:ascii="Times New Roman" w:hAnsi="Times New Roman" w:cs="Times New Roman"/>
            <w:i/>
            <w:color w:val="auto"/>
            <w:sz w:val="28"/>
            <w:szCs w:val="28"/>
          </w:rPr>
          <w:t>Владимирского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00017A">
        <w:rPr>
          <w:rFonts w:ascii="Times New Roman" w:hAnsi="Times New Roman" w:cs="Times New Roman"/>
          <w:sz w:val="28"/>
          <w:szCs w:val="28"/>
        </w:rPr>
        <w:t>Владимирского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00017A">
        <w:rPr>
          <w:rFonts w:ascii="Times New Roman" w:hAnsi="Times New Roman" w:cs="Times New Roman"/>
          <w:sz w:val="28"/>
          <w:szCs w:val="28"/>
        </w:rPr>
        <w:t>Владимирского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00017A">
        <w:rPr>
          <w:rFonts w:ascii="Times New Roman" w:hAnsi="Times New Roman" w:cs="Times New Roman"/>
          <w:sz w:val="28"/>
          <w:szCs w:val="28"/>
        </w:rPr>
        <w:t>Владимирского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00017A">
        <w:rPr>
          <w:rFonts w:ascii="Times New Roman" w:hAnsi="Times New Roman" w:cs="Times New Roman"/>
          <w:sz w:val="28"/>
          <w:szCs w:val="28"/>
        </w:rPr>
        <w:t>Владимирского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1A68E7">
        <w:rPr>
          <w:rFonts w:ascii="Times New Roman" w:hAnsi="Times New Roman" w:cs="Times New Roman"/>
          <w:sz w:val="28"/>
          <w:szCs w:val="28"/>
        </w:rPr>
        <w:t>решение</w:t>
      </w:r>
      <w:r w:rsidR="000D5802">
        <w:rPr>
          <w:rFonts w:ascii="Times New Roman" w:hAnsi="Times New Roman" w:cs="Times New Roman"/>
          <w:sz w:val="28"/>
          <w:szCs w:val="28"/>
        </w:rPr>
        <w:t xml:space="preserve"> </w:t>
      </w:r>
      <w:r w:rsidR="001A68E7">
        <w:rPr>
          <w:rFonts w:ascii="Times New Roman" w:hAnsi="Times New Roman" w:cs="Times New Roman"/>
          <w:sz w:val="28"/>
          <w:szCs w:val="28"/>
        </w:rPr>
        <w:t xml:space="preserve">Думы </w:t>
      </w:r>
      <w:r w:rsidR="0000017A">
        <w:rPr>
          <w:rFonts w:ascii="Times New Roman" w:hAnsi="Times New Roman" w:cs="Times New Roman"/>
          <w:sz w:val="28"/>
          <w:szCs w:val="28"/>
        </w:rPr>
        <w:t>Владимирского</w:t>
      </w:r>
      <w:r w:rsidR="001A68E7">
        <w:rPr>
          <w:rFonts w:ascii="Times New Roman" w:hAnsi="Times New Roman" w:cs="Times New Roman"/>
          <w:sz w:val="28"/>
          <w:szCs w:val="28"/>
        </w:rPr>
        <w:t xml:space="preserve"> сельского поселения</w:t>
      </w:r>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1A68E7">
        <w:rPr>
          <w:rFonts w:ascii="Times New Roman" w:hAnsi="Times New Roman" w:cs="Times New Roman"/>
          <w:sz w:val="28"/>
          <w:szCs w:val="28"/>
        </w:rPr>
        <w:t>Владимирского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1A68E7">
        <w:rPr>
          <w:rFonts w:ascii="Times New Roman" w:hAnsi="Times New Roman" w:cs="Times New Roman"/>
          <w:sz w:val="28"/>
          <w:szCs w:val="28"/>
        </w:rPr>
        <w:t xml:space="preserve">Владимирский </w:t>
      </w:r>
      <w:r w:rsidR="00E31D5E">
        <w:rPr>
          <w:rFonts w:ascii="Times New Roman" w:hAnsi="Times New Roman" w:cs="Times New Roman"/>
          <w:sz w:val="28"/>
          <w:szCs w:val="28"/>
        </w:rPr>
        <w:t xml:space="preserve">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1A68E7">
        <w:rPr>
          <w:rFonts w:ascii="Times New Roman" w:hAnsi="Times New Roman" w:cs="Times New Roman"/>
          <w:sz w:val="28"/>
          <w:szCs w:val="28"/>
        </w:rPr>
        <w:t>Владимирского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1A68E7">
        <w:rPr>
          <w:rFonts w:ascii="Times New Roman" w:hAnsi="Times New Roman" w:cs="Times New Roman"/>
          <w:sz w:val="28"/>
          <w:szCs w:val="28"/>
        </w:rPr>
        <w:t>Владимирского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sidR="001A68E7">
        <w:rPr>
          <w:rFonts w:ascii="Times New Roman" w:hAnsi="Times New Roman" w:cs="Times New Roman"/>
          <w:sz w:val="28"/>
          <w:szCs w:val="28"/>
        </w:rPr>
        <w:t xml:space="preserve">    </w:t>
      </w:r>
      <w:r>
        <w:rPr>
          <w:rFonts w:ascii="Times New Roman" w:hAnsi="Times New Roman" w:cs="Times New Roman"/>
          <w:sz w:val="28"/>
          <w:szCs w:val="28"/>
        </w:rPr>
        <w:t xml:space="preserve"> </w:t>
      </w:r>
      <w:r w:rsidR="001A68E7">
        <w:rPr>
          <w:rFonts w:ascii="Times New Roman" w:hAnsi="Times New Roman" w:cs="Times New Roman"/>
          <w:sz w:val="28"/>
          <w:szCs w:val="28"/>
        </w:rPr>
        <w:t>О.В.Гамаюнова</w:t>
      </w:r>
    </w:p>
    <w:p w:rsidR="004B77A2" w:rsidRDefault="000D5802" w:rsidP="00747C7D">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p>
    <w:bookmarkEnd w:id="3"/>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1A68E7">
        <w:rPr>
          <w:rStyle w:val="a3"/>
          <w:rFonts w:ascii="Times New Roman" w:hAnsi="Times New Roman" w:cs="Times New Roman"/>
          <w:b w:val="0"/>
          <w:color w:val="auto"/>
          <w:sz w:val="28"/>
          <w:szCs w:val="28"/>
        </w:rPr>
        <w:t>Владимирского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1A68E7">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w:t>
      </w:r>
      <w:r w:rsidR="001A68E7">
        <w:rPr>
          <w:rStyle w:val="a3"/>
          <w:rFonts w:ascii="Times New Roman" w:hAnsi="Times New Roman" w:cs="Times New Roman"/>
          <w:b w:val="0"/>
          <w:color w:val="auto"/>
          <w:sz w:val="28"/>
          <w:szCs w:val="28"/>
        </w:rPr>
        <w:t>декабря</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1A68E7">
        <w:rPr>
          <w:rStyle w:val="a3"/>
          <w:rFonts w:ascii="Times New Roman" w:hAnsi="Times New Roman" w:cs="Times New Roman"/>
          <w:b w:val="0"/>
          <w:color w:val="auto"/>
          <w:sz w:val="28"/>
          <w:szCs w:val="28"/>
        </w:rPr>
        <w:t>№78</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1A68E7">
        <w:rPr>
          <w:rFonts w:ascii="Times New Roman" w:hAnsi="Times New Roman" w:cs="Times New Roman"/>
          <w:color w:val="auto"/>
          <w:sz w:val="28"/>
          <w:szCs w:val="28"/>
        </w:rPr>
        <w:t>Владимирского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4"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4"/>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5"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1A68E7">
        <w:rPr>
          <w:rFonts w:ascii="Times New Roman" w:hAnsi="Times New Roman" w:cs="Times New Roman"/>
          <w:sz w:val="28"/>
          <w:szCs w:val="28"/>
        </w:rPr>
        <w:t>Владимирского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1A68E7">
        <w:rPr>
          <w:rFonts w:ascii="Times New Roman" w:hAnsi="Times New Roman" w:cs="Times New Roman"/>
          <w:sz w:val="28"/>
          <w:szCs w:val="28"/>
        </w:rPr>
        <w:t>Владимирского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6" w:name="sub_102"/>
      <w:bookmarkEnd w:id="5"/>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1A68E7">
        <w:rPr>
          <w:rFonts w:ascii="Times New Roman" w:hAnsi="Times New Roman" w:cs="Times New Roman"/>
          <w:sz w:val="28"/>
          <w:szCs w:val="28"/>
        </w:rPr>
        <w:t xml:space="preserve">Владимирского </w:t>
      </w:r>
      <w:r w:rsidR="000D5802">
        <w:rPr>
          <w:rFonts w:ascii="Times New Roman" w:hAnsi="Times New Roman" w:cs="Times New Roman"/>
          <w:sz w:val="28"/>
          <w:szCs w:val="28"/>
        </w:rPr>
        <w:t>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7" w:name="sub_103"/>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lastRenderedPageBreak/>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8" w:name="sub_104"/>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9" w:name="sub_132"/>
      <w:bookmarkStart w:id="10" w:name="sub_9132"/>
      <w:r w:rsidRPr="006964F8">
        <w:rPr>
          <w:rFonts w:ascii="Times New Roman" w:hAnsi="Times New Roman" w:cs="Times New Roman"/>
          <w:b/>
          <w:sz w:val="28"/>
          <w:szCs w:val="28"/>
        </w:rPr>
        <w:t>Инженерные сооружения:</w:t>
      </w:r>
    </w:p>
    <w:bookmarkEnd w:id="9"/>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1"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2" w:name="sub_201"/>
      <w:bookmarkEnd w:id="11"/>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2"/>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1A68E7">
        <w:rPr>
          <w:rFonts w:ascii="Times New Roman" w:hAnsi="Times New Roman" w:cs="Times New Roman"/>
          <w:sz w:val="28"/>
          <w:szCs w:val="28"/>
        </w:rPr>
        <w:t>Владимирского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3"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1A68E7">
        <w:rPr>
          <w:rFonts w:ascii="Times New Roman" w:hAnsi="Times New Roman" w:cs="Times New Roman"/>
          <w:sz w:val="28"/>
          <w:szCs w:val="28"/>
        </w:rPr>
        <w:t>Владимирского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4" w:name="sub_2013"/>
      <w:bookmarkEnd w:id="13"/>
      <w:r w:rsidRPr="006964F8">
        <w:rPr>
          <w:rFonts w:ascii="Times New Roman" w:hAnsi="Times New Roman" w:cs="Times New Roman"/>
          <w:sz w:val="28"/>
          <w:szCs w:val="28"/>
        </w:rPr>
        <w:t xml:space="preserve">2.1.3. Составляющее муниципальную казну </w:t>
      </w:r>
      <w:r w:rsidR="001A68E7">
        <w:rPr>
          <w:rFonts w:ascii="Times New Roman" w:hAnsi="Times New Roman" w:cs="Times New Roman"/>
          <w:sz w:val="28"/>
          <w:szCs w:val="28"/>
        </w:rPr>
        <w:t>Владимирского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4"/>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5"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6" w:name="sub_301"/>
      <w:bookmarkEnd w:id="15"/>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6"/>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1A68E7">
        <w:rPr>
          <w:rFonts w:ascii="Times New Roman" w:hAnsi="Times New Roman" w:cs="Times New Roman"/>
          <w:sz w:val="28"/>
          <w:szCs w:val="28"/>
        </w:rPr>
        <w:t>Владимирского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7"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8" w:name="sub_400"/>
      <w:bookmarkEnd w:id="17"/>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8"/>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A68E7" w:rsidP="006F5FCB">
      <w:pPr>
        <w:ind w:firstLine="709"/>
        <w:rPr>
          <w:rFonts w:ascii="Times New Roman" w:hAnsi="Times New Roman" w:cs="Times New Roman"/>
          <w:sz w:val="28"/>
          <w:szCs w:val="28"/>
        </w:rPr>
      </w:pPr>
      <w:r>
        <w:rPr>
          <w:rFonts w:ascii="Times New Roman" w:hAnsi="Times New Roman" w:cs="Times New Roman"/>
          <w:sz w:val="28"/>
          <w:szCs w:val="28"/>
        </w:rPr>
        <w:t>4.2.  Сс</w:t>
      </w:r>
      <w:r w:rsidR="001E0A08" w:rsidRPr="006964F8">
        <w:rPr>
          <w:rFonts w:ascii="Times New Roman" w:hAnsi="Times New Roman" w:cs="Times New Roman"/>
          <w:sz w:val="28"/>
          <w:szCs w:val="28"/>
        </w:rPr>
        <w:t xml:space="preserve">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001E0A08"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19"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19"/>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0"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1"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1A68E7">
        <w:rPr>
          <w:rFonts w:ascii="Times New Roman" w:hAnsi="Times New Roman" w:cs="Times New Roman"/>
          <w:sz w:val="28"/>
          <w:szCs w:val="28"/>
        </w:rPr>
        <w:t>Владимирского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2"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3" w:name="sub_242"/>
      <w:bookmarkEnd w:id="22"/>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3"/>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4"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5" w:name="sub_44305"/>
      <w:bookmarkEnd w:id="24"/>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6"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7"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1A68E7">
        <w:rPr>
          <w:sz w:val="28"/>
          <w:szCs w:val="28"/>
        </w:rPr>
        <w:t>Владимирский</w:t>
      </w:r>
      <w:bookmarkStart w:id="28" w:name="_GoBack"/>
      <w:bookmarkEnd w:id="28"/>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1A68E7"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Владимирского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1A68E7">
        <w:rPr>
          <w:rFonts w:ascii="Times New Roman" w:hAnsi="Times New Roman" w:cs="Times New Roman"/>
          <w:sz w:val="28"/>
          <w:szCs w:val="28"/>
        </w:rPr>
        <w:t>Владимирского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1A68E7">
        <w:rPr>
          <w:rFonts w:ascii="Times New Roman" w:hAnsi="Times New Roman" w:cs="Times New Roman"/>
          <w:sz w:val="28"/>
          <w:szCs w:val="28"/>
        </w:rPr>
        <w:t>Владимирского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56" w:rsidRDefault="001E6456">
      <w:r>
        <w:separator/>
      </w:r>
    </w:p>
  </w:endnote>
  <w:endnote w:type="continuationSeparator" w:id="0">
    <w:p w:rsidR="001E6456" w:rsidRDefault="001E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56" w:rsidRDefault="001E6456">
      <w:r>
        <w:separator/>
      </w:r>
    </w:p>
  </w:footnote>
  <w:footnote w:type="continuationSeparator" w:id="0">
    <w:p w:rsidR="001E6456" w:rsidRDefault="001E64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0017A"/>
    <w:rsid w:val="00065B41"/>
    <w:rsid w:val="00092A91"/>
    <w:rsid w:val="00094F60"/>
    <w:rsid w:val="000C5E42"/>
    <w:rsid w:val="000D249C"/>
    <w:rsid w:val="000D5802"/>
    <w:rsid w:val="000E2F1E"/>
    <w:rsid w:val="00114211"/>
    <w:rsid w:val="001260F7"/>
    <w:rsid w:val="0012798A"/>
    <w:rsid w:val="00164EE7"/>
    <w:rsid w:val="00187D50"/>
    <w:rsid w:val="001A01BF"/>
    <w:rsid w:val="001A68E7"/>
    <w:rsid w:val="001B44B9"/>
    <w:rsid w:val="001D0AB2"/>
    <w:rsid w:val="001D10F8"/>
    <w:rsid w:val="001E0A08"/>
    <w:rsid w:val="001E6456"/>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117E"/>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86838"/>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703D6"/>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E6106"/>
  <w15:docId w15:val="{472B48DC-367A-4B4B-91A7-D6A46822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DCD-19E5-4B2F-A70E-B955FA4E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6998</Words>
  <Characters>39890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newElement</cp:lastModifiedBy>
  <cp:revision>9</cp:revision>
  <cp:lastPrinted>2024-12-24T03:48:00Z</cp:lastPrinted>
  <dcterms:created xsi:type="dcterms:W3CDTF">2024-12-12T01:52:00Z</dcterms:created>
  <dcterms:modified xsi:type="dcterms:W3CDTF">2024-12-24T03:50:00Z</dcterms:modified>
</cp:coreProperties>
</file>