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622BE0" w:rsidRDefault="00622BE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622BE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ВЛАДИМИРСКОГО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023DC1">
        <w:rPr>
          <w:rFonts w:ascii="Times New Roman" w:hAnsi="Times New Roman"/>
          <w:b/>
          <w:spacing w:val="20"/>
          <w:sz w:val="28"/>
        </w:rPr>
        <w:t>«24</w:t>
      </w:r>
      <w:r w:rsidR="00622BE0">
        <w:rPr>
          <w:rFonts w:ascii="Times New Roman" w:hAnsi="Times New Roman"/>
          <w:b/>
          <w:spacing w:val="20"/>
          <w:sz w:val="28"/>
        </w:rPr>
        <w:t xml:space="preserve">» </w:t>
      </w:r>
      <w:r w:rsidR="00023DC1">
        <w:rPr>
          <w:rFonts w:ascii="Times New Roman" w:hAnsi="Times New Roman"/>
          <w:b/>
          <w:spacing w:val="20"/>
          <w:sz w:val="28"/>
        </w:rPr>
        <w:t>декабря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 w:rsidR="00023DC1">
        <w:rPr>
          <w:rFonts w:ascii="Times New Roman" w:hAnsi="Times New Roman"/>
          <w:b/>
          <w:spacing w:val="20"/>
          <w:sz w:val="28"/>
        </w:rPr>
        <w:t xml:space="preserve">             № 42 </w:t>
      </w:r>
      <w:proofErr w:type="spellStart"/>
      <w:r w:rsidR="00023DC1">
        <w:rPr>
          <w:rFonts w:ascii="Times New Roman" w:hAnsi="Times New Roman"/>
          <w:b/>
          <w:spacing w:val="20"/>
          <w:sz w:val="28"/>
        </w:rPr>
        <w:t>пг</w:t>
      </w:r>
      <w:bookmarkStart w:id="0" w:name="_GoBack"/>
      <w:bookmarkEnd w:id="0"/>
      <w:proofErr w:type="spellEnd"/>
    </w:p>
    <w:p w:rsidR="00215BC0" w:rsidRPr="00DB08D0" w:rsidRDefault="00622BE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proofErr w:type="spellStart"/>
      <w:r>
        <w:rPr>
          <w:rFonts w:ascii="Times New Roman" w:hAnsi="Times New Roman"/>
          <w:b/>
          <w:spacing w:val="20"/>
          <w:sz w:val="28"/>
        </w:rPr>
        <w:t>д.Владимировка</w:t>
      </w:r>
      <w:proofErr w:type="spellEnd"/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proofErr w:type="gramEnd"/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622BE0">
        <w:rPr>
          <w:rFonts w:ascii="Times New Roman" w:hAnsi="Times New Roman"/>
          <w:b/>
          <w:bCs/>
          <w:i/>
          <w:kern w:val="2"/>
          <w:sz w:val="24"/>
          <w:szCs w:val="24"/>
        </w:rPr>
        <w:t>Владимирского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>от 2</w:t>
      </w:r>
      <w:r w:rsidR="00622BE0">
        <w:rPr>
          <w:rFonts w:ascii="Times New Roman" w:hAnsi="Times New Roman"/>
          <w:b/>
          <w:i/>
          <w:sz w:val="24"/>
          <w:szCs w:val="24"/>
        </w:rPr>
        <w:t>7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 сентября 2024 года № </w:t>
      </w:r>
      <w:r w:rsidR="00622BE0">
        <w:rPr>
          <w:rFonts w:ascii="Times New Roman" w:hAnsi="Times New Roman"/>
          <w:b/>
          <w:i/>
          <w:sz w:val="24"/>
          <w:szCs w:val="24"/>
        </w:rPr>
        <w:t>30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622BE0">
        <w:rPr>
          <w:rFonts w:ascii="Times New Roman" w:hAnsi="Times New Roman"/>
          <w:bCs/>
          <w:kern w:val="2"/>
          <w:sz w:val="24"/>
          <w:szCs w:val="24"/>
        </w:rPr>
        <w:t>Владимирского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215BC0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215BC0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622BE0">
        <w:rPr>
          <w:rFonts w:ascii="Times New Roman" w:hAnsi="Times New Roman"/>
          <w:bCs/>
          <w:kern w:val="2"/>
          <w:sz w:val="24"/>
          <w:szCs w:val="24"/>
        </w:rPr>
        <w:t xml:space="preserve">Владимирского 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сельского поселения </w:t>
      </w:r>
      <w:r w:rsidRPr="00215BC0">
        <w:rPr>
          <w:rFonts w:ascii="Times New Roman" w:hAnsi="Times New Roman"/>
          <w:sz w:val="24"/>
          <w:szCs w:val="24"/>
        </w:rPr>
        <w:t xml:space="preserve">от </w:t>
      </w:r>
      <w:r w:rsidR="00622BE0">
        <w:rPr>
          <w:rFonts w:ascii="Times New Roman" w:hAnsi="Times New Roman"/>
          <w:sz w:val="24"/>
          <w:szCs w:val="24"/>
        </w:rPr>
        <w:t>27</w:t>
      </w:r>
      <w:r w:rsidRPr="00215BC0">
        <w:rPr>
          <w:rFonts w:ascii="Times New Roman" w:hAnsi="Times New Roman"/>
          <w:sz w:val="24"/>
          <w:szCs w:val="24"/>
        </w:rPr>
        <w:t xml:space="preserve"> сентября 2024 года </w:t>
      </w:r>
      <w:r w:rsidRPr="00B975D7">
        <w:rPr>
          <w:rFonts w:ascii="Times New Roman" w:hAnsi="Times New Roman"/>
          <w:sz w:val="24"/>
          <w:szCs w:val="24"/>
        </w:rPr>
        <w:t xml:space="preserve">№ </w:t>
      </w:r>
      <w:r w:rsidR="00622BE0">
        <w:rPr>
          <w:rFonts w:ascii="Times New Roman" w:hAnsi="Times New Roman"/>
          <w:sz w:val="24"/>
          <w:szCs w:val="24"/>
        </w:rPr>
        <w:t>30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622BE0">
        <w:rPr>
          <w:rFonts w:ascii="Times New Roman" w:hAnsi="Times New Roman"/>
          <w:szCs w:val="24"/>
        </w:rPr>
        <w:t>Владимирский</w:t>
      </w:r>
      <w:r w:rsidR="00215BC0" w:rsidRPr="00BE068E">
        <w:rPr>
          <w:rFonts w:ascii="Times New Roman" w:hAnsi="Times New Roman"/>
          <w:szCs w:val="24"/>
        </w:rPr>
        <w:t xml:space="preserve"> вестник» и разместить на официальном сайте Администрации </w:t>
      </w:r>
      <w:r w:rsidR="00622BE0">
        <w:rPr>
          <w:rFonts w:ascii="Times New Roman" w:hAnsi="Times New Roman"/>
          <w:szCs w:val="24"/>
        </w:rPr>
        <w:t xml:space="preserve">Владимирского </w:t>
      </w:r>
      <w:r w:rsidR="00215BC0" w:rsidRPr="00BE068E">
        <w:rPr>
          <w:rFonts w:ascii="Times New Roman" w:hAnsi="Times New Roman"/>
          <w:szCs w:val="24"/>
        </w:rPr>
        <w:t>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622BE0">
        <w:rPr>
          <w:rFonts w:ascii="Times New Roman" w:hAnsi="Times New Roman"/>
          <w:szCs w:val="24"/>
        </w:rPr>
        <w:t>Владимирского</w:t>
      </w:r>
      <w:r w:rsidRPr="00BE068E">
        <w:rPr>
          <w:rFonts w:ascii="Times New Roman" w:hAnsi="Times New Roman"/>
          <w:szCs w:val="24"/>
        </w:rPr>
        <w:t xml:space="preserve">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</w:t>
      </w:r>
      <w:r w:rsidR="00622BE0">
        <w:rPr>
          <w:rFonts w:ascii="Times New Roman" w:hAnsi="Times New Roman"/>
          <w:szCs w:val="24"/>
        </w:rPr>
        <w:t>О.В.Гамаюнова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23DC1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22BE0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187D"/>
  <w15:docId w15:val="{9F080F61-B266-4E96-98C1-96B0D35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34</cp:revision>
  <cp:lastPrinted>2024-12-24T03:12:00Z</cp:lastPrinted>
  <dcterms:created xsi:type="dcterms:W3CDTF">2024-11-06T00:53:00Z</dcterms:created>
  <dcterms:modified xsi:type="dcterms:W3CDTF">2024-12-24T03:16:00Z</dcterms:modified>
</cp:coreProperties>
</file>